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                                                                                                    </w:t>
      </w:r>
      <w:r>
        <w:rPr>
          <w:rFonts w:cs="Arial" w:ascii="Arial" w:hAnsi="Arial"/>
          <w:sz w:val="20"/>
          <w:szCs w:val="24"/>
        </w:rPr>
        <w:t>Приложение 10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к решению Совета депутатов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>городского округа Фрязино</w:t>
      </w:r>
    </w:p>
    <w:p>
      <w:pPr>
        <w:pStyle w:val="Style15"/>
        <w:spacing w:before="0" w:after="0"/>
        <w:ind w:firstLine="5954"/>
        <w:jc w:val="center"/>
        <w:rPr/>
      </w:pPr>
      <w:bookmarkStart w:id="0" w:name="__DdeLink__1988_4219724097"/>
      <w:r>
        <w:rPr>
          <w:rFonts w:cs="Arial" w:ascii="Arial" w:hAnsi="Arial"/>
          <w:sz w:val="20"/>
          <w:szCs w:val="24"/>
        </w:rPr>
        <w:t xml:space="preserve">от </w:t>
      </w:r>
      <w:r>
        <w:rPr>
          <w:rFonts w:cs="Arial" w:ascii="Arial" w:hAnsi="Arial"/>
          <w:sz w:val="20"/>
          <w:szCs w:val="24"/>
        </w:rPr>
        <w:t xml:space="preserve">30.01.2020 </w:t>
      </w:r>
      <w:r>
        <w:rPr>
          <w:rFonts w:cs="Arial" w:ascii="Arial" w:hAnsi="Arial"/>
          <w:sz w:val="20"/>
          <w:szCs w:val="24"/>
        </w:rPr>
        <w:t xml:space="preserve"> № </w:t>
      </w:r>
      <w:r>
        <w:rPr>
          <w:rFonts w:cs="Arial" w:ascii="Arial" w:hAnsi="Arial"/>
          <w:sz w:val="20"/>
          <w:szCs w:val="24"/>
        </w:rPr>
        <w:t>395</w:t>
      </w:r>
      <w:bookmarkEnd w:id="0"/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«О внесении изменений в решение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>Совета депутатов городского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 xml:space="preserve">округа Фрязино от 28.11.2019 № 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381 «О бюджете городского округа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 xml:space="preserve">Фрязино на 2020 год и на 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плановый период 2021 и 2022 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годов»</w:t>
      </w:r>
    </w:p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4"/>
        </w:rPr>
        <w:t xml:space="preserve">                                                                                                         </w:t>
      </w:r>
      <w:r>
        <w:rPr>
          <w:rFonts w:cs="Arial" w:ascii="Arial" w:hAnsi="Arial"/>
          <w:sz w:val="20"/>
          <w:szCs w:val="24"/>
        </w:rPr>
        <w:t>«Приложение 11</w:t>
        <w:br/>
      </w:r>
      <w:r>
        <w:rPr>
          <w:rFonts w:cs="Arial" w:ascii="Arial" w:hAnsi="Arial"/>
          <w:sz w:val="20"/>
        </w:rPr>
        <w:t xml:space="preserve">                                                                                                            к решению Совета депутатов </w:t>
        <w:br/>
        <w:t xml:space="preserve">                                                                                                            городского округа Фрязино</w:t>
        <w:br/>
        <w:t xml:space="preserve">                                                                                                             от 28.11.2019  № 381 </w:t>
        <w:br/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     «О бюджете городского округа </w:t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Фрязино на 2020 год и на плановый </w:t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>период 2021 и 2022 годов»</w:t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 w:val="false"/>
        <w:ind w:firstLine="426"/>
        <w:jc w:val="center"/>
        <w:rPr/>
      </w:pPr>
      <w:r>
        <w:rPr>
          <w:rFonts w:cs="Arial" w:ascii="Arial" w:hAnsi="Arial"/>
          <w:b/>
        </w:rPr>
        <w:t>ИСТОЧНИКИ ВНУТРЕННЕГО ФИНАНСИРОВАНИЯ ДЕФИЦИТА БЮДЖЕТА</w:t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ГОРОДСКОГО ОКРУГА ФРЯЗИНО НА 2020 ГОД</w:t>
      </w:r>
    </w:p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widowControl w:val="false"/>
        <w:ind w:firstLine="426"/>
        <w:jc w:val="center"/>
        <w:rPr/>
      </w:pPr>
      <w:r>
        <w:rPr/>
      </w:r>
    </w:p>
    <w:tbl>
      <w:tblPr>
        <w:tblW w:w="941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4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3315"/>
        <w:gridCol w:w="4535"/>
        <w:gridCol w:w="1560"/>
      </w:tblGrid>
      <w:tr>
        <w:trPr/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Код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Сумма 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(тыс. руб.)</w:t>
            </w:r>
          </w:p>
        </w:tc>
      </w:tr>
      <w:tr>
        <w:trPr>
          <w:trHeight w:val="430" w:hRule="atLeast"/>
        </w:trPr>
        <w:tc>
          <w:tcPr>
            <w:tcW w:w="33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Дефицит бюджета городского округа Фрязино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-111 755,1</w:t>
            </w:r>
          </w:p>
        </w:tc>
      </w:tr>
      <w:tr>
        <w:trPr/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 процентах к общей сумме доходов без учета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13,0</w:t>
            </w:r>
          </w:p>
        </w:tc>
      </w:tr>
      <w:tr>
        <w:trPr>
          <w:trHeight w:val="640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000 01 00 00 00 00 0000 000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111 755,1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000 01 02 00 00 00 0000 000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125 500,0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000 01 02 00 00 00 0000 700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125 500,0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111 01 02 00 00 04 0000 710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125 500,0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000 01 02 00 00 00 0000 800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111 01 02 00 00 04 0000 810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636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000 01 05 00 00 00 0000 000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552" w:leader="none"/>
              </w:tabs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26 159,0</w:t>
            </w:r>
            <w:bookmarkStart w:id="1" w:name="_GoBack"/>
            <w:bookmarkEnd w:id="1"/>
          </w:p>
        </w:tc>
      </w:tr>
      <w:tr>
        <w:trPr>
          <w:trHeight w:val="353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000 01 05 00 00 00 0000 500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BodyText2"/>
              <w:spacing w:lineRule="auto" w:line="360" w:before="0" w:after="0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-2 893 359,2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000 01 05 02 00 00 0000 500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-2 893 359,2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000 01 05 02 01 00 0000 510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-2 893 359,2</w:t>
            </w:r>
          </w:p>
        </w:tc>
      </w:tr>
      <w:tr>
        <w:trPr>
          <w:trHeight w:val="616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115 01 05 02 01 04 0000 510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-2 893 359,2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000 01 05 00 00 00 0000 600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36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2 919 518,2 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000 01 05 02 00 00 0000 600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2 919 518,2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000 01 05 02 01 00 0000 610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2 919 518,2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115 01 05 02 01 04 0000 610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2 919 518,2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000 01 06 04 00 00 0000 000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Исполнение государственных и муниципальных гарантий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-39 903,9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000 01 06 04 01 00 0000 000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-39 903,9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000 01 06 04 01 00 0000 800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-39 903,9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115 01 06 04 01 04 0000 810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-39 903,9</w:t>
            </w:r>
          </w:p>
        </w:tc>
      </w:tr>
    </w:tbl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19f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2">
    <w:name w:val="Heading 2"/>
    <w:basedOn w:val="Normal"/>
    <w:next w:val="Normal"/>
    <w:link w:val="20"/>
    <w:qFormat/>
    <w:rsid w:val="003819f8"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819f8"/>
    <w:rPr>
      <w:rFonts w:ascii="Liberation Serif" w:hAnsi="Liberation Serif" w:eastAsia="SimSun" w:cs="Mangal"/>
      <w:kern w:val="2"/>
      <w:sz w:val="36"/>
      <w:szCs w:val="24"/>
      <w:lang w:eastAsia="zh-CN" w:bidi="hi-IN"/>
    </w:rPr>
  </w:style>
  <w:style w:type="character" w:styleId="Style13" w:customStyle="1">
    <w:name w:val="Основной текст Знак"/>
    <w:basedOn w:val="DefaultParagraphFont"/>
    <w:link w:val="a3"/>
    <w:qFormat/>
    <w:rsid w:val="003819f8"/>
    <w:rPr>
      <w:rFonts w:ascii="Calibri" w:hAnsi="Calibri" w:eastAsia="Calibri" w:cs="Times New Roman"/>
      <w:lang w:eastAsia="zh-CN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3819f8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4"/>
    <w:rsid w:val="003819f8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3819f8"/>
    <w:pPr>
      <w:spacing w:lineRule="auto" w:line="480" w:before="0" w:after="12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LibreOffice/6.1.0.3$Windows_x86 LibreOffice_project/efb621ed25068d70781dc026f7e9c5187a4decd1</Application>
  <Pages>2</Pages>
  <Words>503</Words>
  <Characters>2684</Characters>
  <CharactersWithSpaces>3972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2020-01-27T12:39:00Z</dcterms:created>
  <dc:creator>Zaharova OI</dc:creator>
  <dc:description>exif_MSED_7ea74c551ea44a2700eb518a363530a90788b015372f50b8c4ce8615384ec3c6</dc:description>
  <dc:language>ru-RU</dc:language>
  <cp:lastModifiedBy/>
  <cp:lastPrinted>2020-01-27T12:18:00Z</cp:lastPrinted>
  <dcterms:modified xsi:type="dcterms:W3CDTF">2020-02-04T09:45:39Z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